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6" w:type="pct"/>
        <w:tblCellSpacing w:w="37" w:type="dxa"/>
        <w:tblInd w:w="-56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514"/>
      </w:tblGrid>
      <w:tr w:rsidR="00674633" w:rsidTr="00674633">
        <w:trPr>
          <w:trHeight w:val="12751"/>
          <w:tblCellSpacing w:w="37" w:type="dxa"/>
        </w:trPr>
        <w:tc>
          <w:tcPr>
            <w:tcW w:w="4930" w:type="pct"/>
            <w:shd w:val="clear" w:color="auto" w:fill="FFFFFF"/>
          </w:tcPr>
          <w:p w:rsidR="00674633" w:rsidRDefault="00674633" w:rsidP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Приложение №1 </w:t>
            </w:r>
          </w:p>
          <w:p w:rsidR="00674633" w:rsidRDefault="00674633" w:rsidP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к приказу директора</w:t>
            </w:r>
          </w:p>
          <w:p w:rsidR="00674633" w:rsidRDefault="00674633">
            <w:pPr>
              <w:pStyle w:val="a3"/>
              <w:ind w:left="56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«Талицкий  СДК»</w:t>
            </w:r>
          </w:p>
          <w:p w:rsidR="00674633" w:rsidRDefault="00674633">
            <w:pPr>
              <w:pStyle w:val="a3"/>
              <w:ind w:left="56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20.01.2020 г. № </w:t>
            </w:r>
            <w:r w:rsidR="00285DFA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74633" w:rsidRDefault="0067463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74633" w:rsidRPr="00674633" w:rsidRDefault="0067463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4633">
              <w:rPr>
                <w:rFonts w:ascii="Times New Roman" w:hAnsi="Times New Roman"/>
                <w:b/>
                <w:sz w:val="28"/>
                <w:szCs w:val="28"/>
              </w:rPr>
              <w:t>Порядок</w:t>
            </w:r>
          </w:p>
          <w:p w:rsidR="00674633" w:rsidRDefault="00674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633">
              <w:rPr>
                <w:rFonts w:ascii="Times New Roman" w:hAnsi="Times New Roman"/>
                <w:b/>
                <w:sz w:val="28"/>
                <w:szCs w:val="28"/>
              </w:rPr>
              <w:t xml:space="preserve">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 муниципальном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казенном </w:t>
            </w:r>
            <w:r w:rsidRPr="00674633">
              <w:rPr>
                <w:rFonts w:ascii="Times New Roman" w:hAnsi="Times New Roman"/>
                <w:b/>
                <w:sz w:val="28"/>
                <w:szCs w:val="28"/>
              </w:rPr>
              <w:t xml:space="preserve">учреждении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«Талицкий сельский Дом Культуры»</w:t>
            </w:r>
          </w:p>
          <w:p w:rsidR="00674633" w:rsidRDefault="0067463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4633" w:rsidRDefault="0067463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Общие положения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 Порядок информирования работниками работодателя о случаях склонения их к совершению коррупционных нарушений, (далее – Порядок) разработан на основании: Федерального закона от 25 декабря 2008 г. № 273-ФЗ «О противодействии коррупции»;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политики муниципального казенного учреждения «Талицкий сельский Дом Культуры»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 Настоящий порядок определяет способ информирования работниками работодателя о случаях склонения их к совершению коррупционных нарушений в муниципальном казенном учреждении «Талицкий сельский Дом Культуры», далее по тексту МКУ «Талицкий СДК» 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 Термины и определения: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Коррупция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по предупреждению коррупции, в том числе по выявлению и последующему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устранению причин коррупции (профилактика коррупции);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по выявлению, предупреждению, пресечению, раскрытию и расследованию коррупционных правонарушений (борьба с коррупцией);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по минимизации и (или) ликвидации последствий коррупционных правонарушений. Предупреждение коррупции – деятельность организации, направленная на введение элементов корпоративной культуры, организационной структуры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юридическое лицо независимо от формы собственности, организационно-правовой формы и отраслевой принадлежности.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Контрагент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Взятка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Коммерческий подкуп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      </w:r>
            <w:proofErr w:type="gramEnd"/>
          </w:p>
          <w:p w:rsidR="00674633" w:rsidRDefault="0067463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Порядок информирования работниками работодателя о случаях склонения их к совершению коррупционных нарушений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 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 МКУ «Талицкий СДК».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2.2. Работники МКУ «Талицкий СДК»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 Уведомление работодателя о фактах обращения в целях склонения работников МКУ «Талицкий СДК» к совершению коррупционных правонарушений (далее – уведомление) осуществляется письменно, путем передачи его ответственному лицу за реализацию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политики или путем направления такого уведомления по почте.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2.4. Перечень сведений, подлежащих отражению в уведомлении (Приложение №1), должен содержать: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фамилию, имя, отчество, должность, место жительства и телефон лица, направившего уведомление;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описание обстоятельств, при которых стало известно о случаях обращения к работнику МКУ «Талицкий СДК»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подробные сведения о коррупционных правонарушениях, которые должен был бы совершить работник МКУ «Талицкий СДК» по просьбе обратившихся лиц;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все известные сведения о физическом (юридическом) лице, склоняющем к коррупционному правонарушению;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2.5. Все уведомления подлежат обязательной регистрации в специальном журнале (Приложение №3), который должен быть прошит и пронумерован, а также заверен оттиском печати.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Обязанность по ведению журнала в </w:t>
            </w:r>
            <w:r w:rsidR="001C445E">
              <w:rPr>
                <w:rFonts w:ascii="Times New Roman" w:hAnsi="Times New Roman"/>
                <w:sz w:val="28"/>
                <w:szCs w:val="28"/>
              </w:rPr>
              <w:t xml:space="preserve">МКУ «Талицкий СДК»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возлагается на ответственного за реализацию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политики.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Уполномоченное лицо, принявшее уведомление, помимо его регистрации в журнале, обязано выдать работнику направившему уведомление, под роспись талон - уведомление с указанием данных о лице, принявшем уведомление, дате и времени его принятия. Талон-уведомление состоит из двух частей: корешка талона-уведомления и талона-уведомления (Приложение N 2). После заполнения корешок талона-уведомления остается у уполномоченного лица,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2.6. Конфиденциальность полученных сведений обеспечивается работодателем и ответственным лицом за реализацию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политики.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 К рассмотрению анонимные уведомления не принимаются.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 Организация проверки сведений, содержащихся в поступившем уведомлении, осуществляется Комиссией по противодействию коррупции, в соответствии с требованиями Положения «О Комиссии по противодействию коррупции».</w:t>
            </w:r>
          </w:p>
          <w:p w:rsidR="00674633" w:rsidRDefault="0067463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Порядок действий при выявлении факта коррупционных правонарушений работниками при осуществлении ими профессиональной деятельности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 При выявлении факта, когда работник при осуществлении им профессиональной деятельности требует получение материальной выгоды с</w:t>
            </w:r>
            <w:r w:rsidR="001C445E">
              <w:rPr>
                <w:rFonts w:ascii="Times New Roman" w:hAnsi="Times New Roman"/>
                <w:sz w:val="28"/>
                <w:szCs w:val="28"/>
              </w:rPr>
              <w:t xml:space="preserve"> участников клубных формирований</w:t>
            </w:r>
            <w:r>
              <w:rPr>
                <w:rFonts w:ascii="Times New Roman" w:hAnsi="Times New Roman"/>
                <w:sz w:val="28"/>
                <w:szCs w:val="28"/>
              </w:rPr>
              <w:t>, родителей (законных представителей) несовершеннолетних</w:t>
            </w:r>
            <w:r w:rsidR="001C445E">
              <w:rPr>
                <w:rFonts w:ascii="Times New Roman" w:hAnsi="Times New Roman"/>
                <w:sz w:val="28"/>
                <w:szCs w:val="28"/>
              </w:rPr>
              <w:t xml:space="preserve"> участников клубных формирований</w:t>
            </w:r>
            <w:r>
              <w:rPr>
                <w:rFonts w:ascii="Times New Roman" w:hAnsi="Times New Roman"/>
                <w:sz w:val="28"/>
                <w:szCs w:val="28"/>
              </w:rPr>
              <w:t>, иных физических либо юридических лиц экстренно созывается комиссия по противодействию коррупции.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 Соответствующее заявление рассматривается на заседании комиссии по противодействию коррупции.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3.3. Заседание комиссии по рассмотрению данного факта назначается сроком не позднее дня следующего за днем выявления факта.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 Заявление</w:t>
            </w:r>
            <w:r w:rsidR="001C445E">
              <w:rPr>
                <w:rFonts w:ascii="Times New Roman" w:hAnsi="Times New Roman"/>
                <w:sz w:val="28"/>
                <w:szCs w:val="28"/>
              </w:rPr>
              <w:t xml:space="preserve">  участников клубных формирований, родителей (законных представителей) несовершеннолетних участников клубных формирований,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иных физических либо юридических лиц о фактах требования и или получения материальной выгоды работником</w:t>
            </w:r>
            <w:r w:rsidR="001C445E">
              <w:rPr>
                <w:rFonts w:ascii="Times New Roman" w:hAnsi="Times New Roman"/>
                <w:sz w:val="28"/>
                <w:szCs w:val="28"/>
              </w:rPr>
              <w:t xml:space="preserve"> МКУ «Талицкий СДК»,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регистрируется в специальном журнале (Приложение №4).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 По результатам рассмотрения заявления, комиссией принимается решение о проведении служебного расследования.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 Перечень сведений, подлежащих отражению в заявлении: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фамилия, имя, отчество, должность, место жительства и телефон лица, направившего заявление;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описание обстоятельств, при которых стало известно о факте требования или получения материальной выгоды работником </w:t>
            </w:r>
            <w:r w:rsidR="001C445E">
              <w:rPr>
                <w:rFonts w:ascii="Times New Roman" w:hAnsi="Times New Roman"/>
                <w:sz w:val="28"/>
                <w:szCs w:val="28"/>
              </w:rPr>
              <w:t>МКУ «Талицкий СДК»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 и обстоятельства коррупционного правонарушения.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3.7. Конфиденциальность полученных сведений обеспечивается работодателем и ответственным лицом за реализацию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политики.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3.8. К рассмотрению анонимные уведомления не принимаются.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3.9. В случае привлечения к дисциплинарной ответственности работника, указанного в п. 3.10. настоящего Положения,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</w:t>
            </w:r>
            <w:r w:rsidR="001C445E">
              <w:rPr>
                <w:rFonts w:ascii="Times New Roman" w:hAnsi="Times New Roman"/>
                <w:sz w:val="28"/>
                <w:szCs w:val="28"/>
              </w:rPr>
              <w:t>МКУ «Талицкий СДК»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3.10. </w:t>
            </w:r>
            <w:r w:rsidR="001C445E">
              <w:rPr>
                <w:rFonts w:ascii="Times New Roman" w:hAnsi="Times New Roman"/>
                <w:sz w:val="28"/>
                <w:szCs w:val="28"/>
              </w:rPr>
              <w:t>МКУ «Талицкий СДК</w:t>
            </w:r>
            <w:proofErr w:type="gramStart"/>
            <w:r w:rsidR="001C445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</w:t>
            </w:r>
            <w:r w:rsidR="001C445E">
              <w:rPr>
                <w:rFonts w:ascii="Times New Roman" w:hAnsi="Times New Roman"/>
                <w:sz w:val="28"/>
                <w:szCs w:val="28"/>
              </w:rPr>
              <w:t>МКУ «Талицкий СДК»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(работникам </w:t>
            </w:r>
            <w:r w:rsidR="001C445E">
              <w:rPr>
                <w:rFonts w:ascii="Times New Roman" w:hAnsi="Times New Roman"/>
                <w:sz w:val="28"/>
                <w:szCs w:val="28"/>
              </w:rPr>
              <w:t>МКУ «Талицкий СДК»</w:t>
            </w:r>
            <w:r>
              <w:rPr>
                <w:rFonts w:ascii="Times New Roman" w:hAnsi="Times New Roman"/>
                <w:sz w:val="28"/>
                <w:szCs w:val="28"/>
              </w:rPr>
              <w:t>) стало известно.</w:t>
            </w:r>
          </w:p>
          <w:p w:rsidR="00674633" w:rsidRDefault="0067463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Заключительные положения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4.1. Настоящий Порядок может быть пересмотрен как по инициативе работников, так и по инициативе руководства </w:t>
            </w:r>
            <w:r w:rsidR="001C445E">
              <w:rPr>
                <w:rFonts w:ascii="Times New Roman" w:hAnsi="Times New Roman"/>
                <w:sz w:val="28"/>
                <w:szCs w:val="28"/>
              </w:rPr>
              <w:t>МКУ «Талицкий СДК»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</w:t>
            </w:r>
          </w:p>
          <w:p w:rsidR="00674633" w:rsidRDefault="006746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4.3. Настоящий Порядок вступает в силу с </w:t>
            </w:r>
            <w:r w:rsidR="001C445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0.</w:t>
            </w:r>
            <w:r w:rsidR="001C445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1.20</w:t>
            </w:r>
            <w:r w:rsidR="001C445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445E" w:rsidRDefault="001C445E" w:rsidP="001C44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1C445E" w:rsidP="001C44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</w:t>
            </w:r>
            <w:r w:rsidR="00674633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Директору </w:t>
            </w:r>
            <w:r w:rsidR="001C445E" w:rsidRPr="001C445E">
              <w:rPr>
                <w:rFonts w:ascii="Times New Roman" w:hAnsi="Times New Roman"/>
                <w:sz w:val="24"/>
                <w:szCs w:val="24"/>
              </w:rPr>
              <w:t>МКУ «Талицкий СДК»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674633" w:rsidRDefault="001C44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674633">
              <w:rPr>
                <w:rFonts w:ascii="Times New Roman" w:hAnsi="Times New Roman"/>
                <w:color w:val="000000"/>
                <w:sz w:val="24"/>
                <w:szCs w:val="24"/>
              </w:rPr>
              <w:t>т _____________________________________________________________________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(Ф.И.О., работника, место жительства, телефон)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факте обращения в целях склонения работника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Сообщаю, что: 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1.____________________________________________________________________________ (описание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правонарушений) (дата, место, время, другие условия)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___________________________________________________________________________ (подробные сведения о коррупционных правонарушениях, которые должен был бы совершить работник по просьбе обратившихся лиц)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___________________________________________________________________________ (все известные сведения о физическом (юридическом) лице, склоняющем к коррупционному правонарушению)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___________________________________________________________________________ 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 ___________________ _________________________________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(дата) (подпись) (инициалы и фамилия)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445E" w:rsidRDefault="001C445E" w:rsidP="001C44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674633" w:rsidP="001C445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№2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ТАЛОН-КОРЕШОК №_____________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принято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(Ф. И. О. работника)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 уведомления__________________________________________ ______________________________________________________________________ ______________________________________________________________________ ______________________________________________________________________                    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(подпись и должность лица, принявшего уведомление)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«______» __________________ 20____ г. 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      (подпись лица, получившего талон-уведомление) «_______»________________20_____г.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67463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Приложение №3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Журнал</w:t>
            </w:r>
          </w:p>
          <w:p w:rsidR="00674633" w:rsidRDefault="00674633" w:rsidP="001C44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регистрации уведомлений работниками работодателя о случаях склонения их к совершению коррупционных нарушений в муниципальном </w:t>
            </w:r>
            <w:r w:rsidR="001C44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казенном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учреждении </w:t>
            </w:r>
            <w:r w:rsidR="001C44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«Талицкий сельский Дом Культуры»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Начат _____________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Окончен____________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59"/>
              <w:gridCol w:w="2869"/>
              <w:gridCol w:w="1914"/>
              <w:gridCol w:w="1914"/>
              <w:gridCol w:w="1915"/>
            </w:tblGrid>
            <w:tr w:rsidR="00674633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Дата регистрации уведомления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ФИО, должность лица, подавшего уведомление, контактный телефон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Краткое содержание уведомления</w:t>
                  </w:r>
                </w:p>
              </w:tc>
              <w:tc>
                <w:tcPr>
                  <w:tcW w:w="1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Примечание</w:t>
                  </w:r>
                </w:p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74633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74633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74633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74633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74633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74633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633" w:rsidRDefault="00674633" w:rsidP="001C445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№4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Журнал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регистрации заявлений о фактах требований или получения материальной выгоды работниками при осуществлении профессиональной деятельности в муниципальном </w:t>
            </w:r>
            <w:r w:rsidR="001C44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казенном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учреждении </w:t>
            </w:r>
            <w:r w:rsidR="001C44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«Талицкий сельский Дом Культуры»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Начат _____________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Окончен____________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59"/>
              <w:gridCol w:w="2869"/>
              <w:gridCol w:w="1914"/>
              <w:gridCol w:w="1914"/>
              <w:gridCol w:w="1915"/>
            </w:tblGrid>
            <w:tr w:rsidR="00674633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Дата регистрации заявления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ФИО, должность лица, подавшего заявление, контактный телефон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Краткое содержание заявления</w:t>
                  </w:r>
                </w:p>
              </w:tc>
              <w:tc>
                <w:tcPr>
                  <w:tcW w:w="1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Примечание</w:t>
                  </w:r>
                </w:p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74633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74633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74633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74633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74633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74633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74633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74633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74633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4633" w:rsidRDefault="006746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74633" w:rsidRDefault="006746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74633" w:rsidRDefault="00674633" w:rsidP="00674633">
      <w:pPr>
        <w:rPr>
          <w:rFonts w:ascii="Times New Roman" w:hAnsi="Times New Roman"/>
          <w:color w:val="000000"/>
          <w:sz w:val="24"/>
          <w:szCs w:val="24"/>
        </w:rPr>
      </w:pPr>
    </w:p>
    <w:p w:rsidR="00674633" w:rsidRDefault="00674633" w:rsidP="00674633">
      <w:pPr>
        <w:rPr>
          <w:rFonts w:ascii="Times New Roman" w:hAnsi="Times New Roman"/>
          <w:color w:val="000000"/>
          <w:sz w:val="24"/>
          <w:szCs w:val="24"/>
        </w:rPr>
      </w:pPr>
    </w:p>
    <w:p w:rsidR="00232B52" w:rsidRDefault="00232B52"/>
    <w:sectPr w:rsidR="00232B52" w:rsidSect="0023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633"/>
    <w:rsid w:val="00122298"/>
    <w:rsid w:val="001C445E"/>
    <w:rsid w:val="00232B52"/>
    <w:rsid w:val="00285DFA"/>
    <w:rsid w:val="003F1747"/>
    <w:rsid w:val="00492800"/>
    <w:rsid w:val="00674633"/>
    <w:rsid w:val="009E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6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Клуб</dc:creator>
  <cp:keywords/>
  <dc:description/>
  <cp:lastModifiedBy>Дк Клуб</cp:lastModifiedBy>
  <cp:revision>7</cp:revision>
  <cp:lastPrinted>2020-01-21T06:46:00Z</cp:lastPrinted>
  <dcterms:created xsi:type="dcterms:W3CDTF">2020-01-20T11:56:00Z</dcterms:created>
  <dcterms:modified xsi:type="dcterms:W3CDTF">2020-01-21T13:50:00Z</dcterms:modified>
</cp:coreProperties>
</file>