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493" w:rsidRPr="006C5493" w:rsidRDefault="006C5493" w:rsidP="006C5493">
      <w:pPr>
        <w:keepNext/>
        <w:tabs>
          <w:tab w:val="num" w:pos="0"/>
        </w:tabs>
        <w:suppressAutoHyphens/>
        <w:spacing w:after="0" w:line="240" w:lineRule="auto"/>
        <w:ind w:left="432" w:hanging="432"/>
        <w:jc w:val="center"/>
        <w:outlineLvl w:val="0"/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</w:pPr>
      <w:r w:rsidRPr="006C5493">
        <w:rPr>
          <w:rFonts w:ascii="Times New Roman" w:eastAsia="Arial Unicode MS" w:hAnsi="Times New Roman" w:cs="Calibri"/>
          <w:b/>
          <w:noProof/>
          <w:sz w:val="40"/>
          <w:szCs w:val="24"/>
          <w:lang w:eastAsia="ru-RU"/>
        </w:rPr>
        <w:drawing>
          <wp:inline distT="0" distB="0" distL="0" distR="0" wp14:anchorId="39692A34" wp14:editId="1284DC3E">
            <wp:extent cx="781050" cy="8858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5493" w:rsidRPr="006C5493" w:rsidRDefault="006C5493" w:rsidP="006C5493">
      <w:pPr>
        <w:suppressAutoHyphens/>
        <w:spacing w:after="200" w:line="276" w:lineRule="auto"/>
        <w:rPr>
          <w:rFonts w:ascii="Calibri" w:eastAsia="Times New Roman" w:hAnsi="Calibri" w:cs="Calibri"/>
          <w:sz w:val="10"/>
          <w:szCs w:val="10"/>
          <w:lang w:eastAsia="ar-SA"/>
        </w:rPr>
      </w:pPr>
    </w:p>
    <w:p w:rsidR="006C5493" w:rsidRPr="006C5493" w:rsidRDefault="006C5493" w:rsidP="006C5493">
      <w:pPr>
        <w:keepNext/>
        <w:tabs>
          <w:tab w:val="num" w:pos="0"/>
        </w:tabs>
        <w:suppressAutoHyphens/>
        <w:spacing w:after="0" w:line="100" w:lineRule="atLeast"/>
        <w:ind w:left="432" w:hanging="432"/>
        <w:jc w:val="center"/>
        <w:outlineLvl w:val="0"/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</w:pPr>
      <w:r w:rsidRPr="006C5493"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  <w:t>РОССИЙСКАЯ ФЕДЕРАЦИЯ</w:t>
      </w:r>
    </w:p>
    <w:p w:rsidR="006C5493" w:rsidRPr="006C5493" w:rsidRDefault="006C5493" w:rsidP="006C5493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100" w:lineRule="atLeast"/>
        <w:ind w:left="576" w:hanging="576"/>
        <w:jc w:val="center"/>
        <w:outlineLvl w:val="1"/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</w:pPr>
      <w:r w:rsidRPr="006C5493"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  <w:t>Ивановская область</w:t>
      </w:r>
    </w:p>
    <w:p w:rsidR="006C5493" w:rsidRPr="006C5493" w:rsidRDefault="006C5493" w:rsidP="006C5493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100" w:lineRule="atLeast"/>
        <w:ind w:left="720" w:hanging="720"/>
        <w:jc w:val="center"/>
        <w:outlineLvl w:val="2"/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</w:pPr>
      <w:r w:rsidRPr="006C5493"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  <w:t>Южский муниципальный район</w:t>
      </w:r>
    </w:p>
    <w:p w:rsidR="006C5493" w:rsidRPr="006C5493" w:rsidRDefault="006C5493" w:rsidP="006C5493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100" w:lineRule="atLeast"/>
        <w:ind w:left="720" w:hanging="720"/>
        <w:jc w:val="center"/>
        <w:outlineLvl w:val="2"/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</w:pPr>
      <w:r w:rsidRPr="006C5493"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  <w:t>Совет Талицко-Мугреевского сельского поселения</w:t>
      </w:r>
    </w:p>
    <w:p w:rsidR="006C5493" w:rsidRPr="006C5493" w:rsidRDefault="006C5493" w:rsidP="006C5493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100" w:lineRule="atLeast"/>
        <w:ind w:left="576" w:hanging="576"/>
        <w:jc w:val="center"/>
        <w:outlineLvl w:val="1"/>
        <w:rPr>
          <w:rFonts w:ascii="Times New Roman" w:eastAsia="Times New Roman" w:hAnsi="Times New Roman" w:cs="Calibri"/>
          <w:b/>
          <w:bCs/>
          <w:sz w:val="28"/>
          <w:szCs w:val="24"/>
          <w:lang w:eastAsia="ar-SA"/>
        </w:rPr>
      </w:pPr>
      <w:r w:rsidRPr="006C5493">
        <w:rPr>
          <w:rFonts w:ascii="Times New Roman" w:eastAsia="Times New Roman" w:hAnsi="Times New Roman" w:cs="Calibri"/>
          <w:b/>
          <w:bCs/>
          <w:sz w:val="28"/>
          <w:szCs w:val="24"/>
          <w:lang w:eastAsia="ar-SA"/>
        </w:rPr>
        <w:t>Первого созыва</w:t>
      </w:r>
    </w:p>
    <w:p w:rsidR="006C5493" w:rsidRPr="006C5493" w:rsidRDefault="006C5493" w:rsidP="006C5493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200" w:lineRule="atLeast"/>
        <w:ind w:left="864" w:hanging="864"/>
        <w:jc w:val="center"/>
        <w:outlineLvl w:val="3"/>
        <w:rPr>
          <w:rFonts w:ascii="Times New Roman" w:eastAsia="Arial Unicode MS" w:hAnsi="Times New Roman" w:cs="Calibri"/>
          <w:b/>
          <w:bCs/>
          <w:sz w:val="48"/>
          <w:szCs w:val="24"/>
          <w:lang w:eastAsia="ar-SA"/>
        </w:rPr>
      </w:pPr>
      <w:r w:rsidRPr="006C5493">
        <w:rPr>
          <w:rFonts w:ascii="Times New Roman" w:eastAsia="Arial Unicode MS" w:hAnsi="Times New Roman" w:cs="Calibri"/>
          <w:b/>
          <w:bCs/>
          <w:sz w:val="48"/>
          <w:szCs w:val="24"/>
          <w:lang w:eastAsia="ar-SA"/>
        </w:rPr>
        <w:t xml:space="preserve">Р Е Ш Е Н И Е </w:t>
      </w:r>
    </w:p>
    <w:p w:rsidR="006C5493" w:rsidRPr="006C5493" w:rsidRDefault="006C5493" w:rsidP="006C5493">
      <w:pPr>
        <w:suppressAutoHyphens/>
        <w:spacing w:after="0" w:line="200" w:lineRule="atLeast"/>
        <w:jc w:val="both"/>
        <w:rPr>
          <w:rFonts w:ascii="Times New Roman" w:eastAsia="Arial Unicode MS" w:hAnsi="Times New Roman" w:cs="Calibri"/>
          <w:b/>
          <w:bCs/>
          <w:sz w:val="28"/>
          <w:lang w:eastAsia="ar-SA"/>
        </w:rPr>
      </w:pPr>
    </w:p>
    <w:p w:rsidR="006C5493" w:rsidRPr="006C5493" w:rsidRDefault="006E1CAB" w:rsidP="006C5493">
      <w:pPr>
        <w:suppressAutoHyphens/>
        <w:spacing w:after="0" w:line="200" w:lineRule="atLeast"/>
        <w:jc w:val="both"/>
        <w:rPr>
          <w:rFonts w:ascii="Times New Roman" w:eastAsia="Arial Unicode MS" w:hAnsi="Times New Roman" w:cs="Calibri"/>
          <w:bCs/>
          <w:sz w:val="24"/>
          <w:szCs w:val="24"/>
          <w:u w:val="single"/>
          <w:lang w:eastAsia="ar-SA"/>
        </w:rPr>
      </w:pPr>
      <w:r>
        <w:rPr>
          <w:rFonts w:ascii="Times New Roman" w:eastAsia="Arial Unicode MS" w:hAnsi="Times New Roman" w:cs="Calibri"/>
          <w:bCs/>
          <w:sz w:val="24"/>
          <w:szCs w:val="24"/>
          <w:lang w:eastAsia="ar-SA"/>
        </w:rPr>
        <w:t>от 30</w:t>
      </w:r>
      <w:r w:rsidR="006C5493" w:rsidRPr="006C5493">
        <w:rPr>
          <w:rFonts w:ascii="Times New Roman" w:eastAsia="Arial Unicode MS" w:hAnsi="Times New Roman" w:cs="Calibri"/>
          <w:bCs/>
          <w:sz w:val="24"/>
          <w:szCs w:val="24"/>
          <w:lang w:eastAsia="ar-SA"/>
        </w:rPr>
        <w:t>.11.2017 года                                                                                                                   № 2</w:t>
      </w:r>
      <w:r w:rsidR="006C5493">
        <w:rPr>
          <w:rFonts w:ascii="Times New Roman" w:eastAsia="Arial Unicode MS" w:hAnsi="Times New Roman" w:cs="Calibri"/>
          <w:bCs/>
          <w:sz w:val="24"/>
          <w:szCs w:val="24"/>
          <w:lang w:eastAsia="ar-SA"/>
        </w:rPr>
        <w:t>3</w:t>
      </w:r>
      <w:bookmarkStart w:id="0" w:name="_GoBack"/>
      <w:bookmarkEnd w:id="0"/>
    </w:p>
    <w:p w:rsidR="006C5493" w:rsidRPr="006C5493" w:rsidRDefault="006C5493" w:rsidP="006C5493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6C5493" w:rsidRPr="006C5493" w:rsidRDefault="006C5493" w:rsidP="006C5493">
      <w:pPr>
        <w:pStyle w:val="p9"/>
        <w:spacing w:before="0" w:beforeAutospacing="0" w:after="0" w:afterAutospacing="0"/>
        <w:jc w:val="center"/>
        <w:rPr>
          <w:rStyle w:val="s1"/>
          <w:b/>
        </w:rPr>
      </w:pPr>
      <w:r w:rsidRPr="006C5493">
        <w:rPr>
          <w:rStyle w:val="s1"/>
          <w:b/>
        </w:rPr>
        <w:t xml:space="preserve">Об установлении земельного налога на территории </w:t>
      </w:r>
    </w:p>
    <w:p w:rsidR="006C5493" w:rsidRPr="00D40F7C" w:rsidRDefault="006C5493" w:rsidP="006C5493">
      <w:pPr>
        <w:pStyle w:val="p9"/>
        <w:spacing w:before="0" w:beforeAutospacing="0" w:after="0" w:afterAutospacing="0"/>
        <w:jc w:val="center"/>
        <w:rPr>
          <w:rStyle w:val="s1"/>
          <w:b/>
          <w:sz w:val="28"/>
          <w:szCs w:val="28"/>
        </w:rPr>
      </w:pPr>
      <w:r w:rsidRPr="006C5493">
        <w:rPr>
          <w:rStyle w:val="s1"/>
          <w:b/>
        </w:rPr>
        <w:t>Талицко-Мугреевского сельского поселения</w:t>
      </w:r>
    </w:p>
    <w:p w:rsidR="006C5493" w:rsidRDefault="006C5493" w:rsidP="006C5493">
      <w:pPr>
        <w:pStyle w:val="p11"/>
        <w:spacing w:before="0" w:beforeAutospacing="0" w:after="0" w:afterAutospacing="0"/>
        <w:ind w:firstLine="708"/>
        <w:jc w:val="both"/>
        <w:rPr>
          <w:rStyle w:val="s2"/>
        </w:rPr>
      </w:pPr>
    </w:p>
    <w:p w:rsidR="006C5493" w:rsidRDefault="006C5493" w:rsidP="006C5493">
      <w:pPr>
        <w:pStyle w:val="p11"/>
        <w:spacing w:before="0" w:beforeAutospacing="0" w:after="0" w:afterAutospacing="0"/>
        <w:ind w:firstLine="708"/>
        <w:jc w:val="both"/>
        <w:rPr>
          <w:rStyle w:val="s2"/>
        </w:rPr>
      </w:pPr>
      <w:r w:rsidRPr="00685FA8">
        <w:rPr>
          <w:rStyle w:val="s2"/>
        </w:rPr>
        <w:t>В соответствии с Налоговым кодексом Российской Федерации</w:t>
      </w:r>
      <w:r>
        <w:rPr>
          <w:rStyle w:val="s2"/>
        </w:rPr>
        <w:t xml:space="preserve">, </w:t>
      </w:r>
      <w:r w:rsidRPr="00685FA8">
        <w:rPr>
          <w:rStyle w:val="s2"/>
        </w:rPr>
        <w:t>п.4 ст. 84 Федерального закона «Об общих принципах организации местного самоуправления в Российской Федерации» от 06.10.2003 г. №131-ФЗ, Федеральным Законом «О внесении изменений в часть первую и часть вторую НК РФ и в отдельные законодательные акты Российской Федерации» от 30.12.2006 года № 268-ФЗ</w:t>
      </w:r>
      <w:r>
        <w:rPr>
          <w:rStyle w:val="s2"/>
        </w:rPr>
        <w:t>,</w:t>
      </w:r>
      <w:r w:rsidRPr="00685FA8">
        <w:rPr>
          <w:rStyle w:val="s2"/>
        </w:rPr>
        <w:t xml:space="preserve"> Совет Талицко</w:t>
      </w:r>
      <w:r>
        <w:rPr>
          <w:rStyle w:val="s2"/>
        </w:rPr>
        <w:t>-Мугреевского</w:t>
      </w:r>
      <w:r w:rsidRPr="00685FA8">
        <w:rPr>
          <w:rStyle w:val="s2"/>
        </w:rPr>
        <w:t xml:space="preserve"> сельского поселения </w:t>
      </w:r>
      <w:r w:rsidRPr="00685FA8">
        <w:rPr>
          <w:rStyle w:val="s3"/>
          <w:b/>
        </w:rPr>
        <w:t>РЕШИЛ</w:t>
      </w:r>
      <w:r w:rsidRPr="00685FA8">
        <w:rPr>
          <w:rStyle w:val="s2"/>
        </w:rPr>
        <w:t>:</w:t>
      </w:r>
    </w:p>
    <w:p w:rsidR="006C5493" w:rsidRPr="00685FA8" w:rsidRDefault="006C5493" w:rsidP="006C5493">
      <w:pPr>
        <w:pStyle w:val="p11"/>
        <w:spacing w:before="0" w:beforeAutospacing="0" w:after="0" w:afterAutospacing="0"/>
        <w:ind w:firstLine="708"/>
        <w:jc w:val="both"/>
      </w:pPr>
    </w:p>
    <w:p w:rsidR="006C5493" w:rsidRDefault="006C5493" w:rsidP="006C5493">
      <w:pPr>
        <w:pStyle w:val="p12"/>
        <w:spacing w:before="0" w:beforeAutospacing="0" w:after="0" w:afterAutospacing="0"/>
        <w:ind w:firstLine="708"/>
        <w:jc w:val="both"/>
      </w:pPr>
      <w:r w:rsidRPr="00685FA8">
        <w:rPr>
          <w:rStyle w:val="s1"/>
        </w:rPr>
        <w:t>1</w:t>
      </w:r>
      <w:r w:rsidRPr="00685FA8">
        <w:t xml:space="preserve">. </w:t>
      </w:r>
      <w:r>
        <w:t>В</w:t>
      </w:r>
      <w:r w:rsidRPr="00685FA8">
        <w:t>вести на территории Талицко</w:t>
      </w:r>
      <w:r>
        <w:t>-Мугреевского</w:t>
      </w:r>
      <w:r w:rsidRPr="00685FA8">
        <w:t xml:space="preserve"> сельского поселения с 1 января 201</w:t>
      </w:r>
      <w:r>
        <w:t>8</w:t>
      </w:r>
      <w:r w:rsidRPr="00685FA8">
        <w:t xml:space="preserve"> года земельный налог.</w:t>
      </w:r>
    </w:p>
    <w:p w:rsidR="006C5493" w:rsidRPr="00685FA8" w:rsidRDefault="006C5493" w:rsidP="006C5493">
      <w:pPr>
        <w:pStyle w:val="p12"/>
        <w:spacing w:before="0" w:beforeAutospacing="0" w:after="0" w:afterAutospacing="0"/>
        <w:ind w:firstLine="708"/>
        <w:jc w:val="both"/>
      </w:pPr>
      <w:r w:rsidRPr="00685FA8">
        <w:rPr>
          <w:rStyle w:val="s1"/>
        </w:rPr>
        <w:t>2</w:t>
      </w:r>
      <w:r w:rsidRPr="00685FA8">
        <w:t>. Налогоплательщиками налога признаются организации и физические лица, обладающие земельными участками на праве собственности, праве постоянного (бессрочного) пользования или праве пожизненного наследуемого владения.</w:t>
      </w:r>
    </w:p>
    <w:p w:rsidR="006C5493" w:rsidRPr="00685FA8" w:rsidRDefault="006C5493" w:rsidP="006C5493">
      <w:pPr>
        <w:pStyle w:val="p13"/>
        <w:spacing w:before="0" w:beforeAutospacing="0" w:after="0" w:afterAutospacing="0"/>
        <w:ind w:firstLine="708"/>
        <w:jc w:val="both"/>
      </w:pPr>
      <w:r w:rsidRPr="00685FA8">
        <w:rPr>
          <w:rStyle w:val="s1"/>
        </w:rPr>
        <w:t>3</w:t>
      </w:r>
      <w:r w:rsidRPr="00685FA8">
        <w:t>. Объектом налогообложения признаются земельные участки,</w:t>
      </w:r>
      <w:r>
        <w:t xml:space="preserve"> расположенные в пределах </w:t>
      </w:r>
      <w:r w:rsidRPr="00685FA8">
        <w:t>территории Талицко</w:t>
      </w:r>
      <w:r>
        <w:t>-Мугреевского</w:t>
      </w:r>
      <w:r w:rsidRPr="00685FA8">
        <w:t xml:space="preserve"> сельского поселения.</w:t>
      </w:r>
    </w:p>
    <w:p w:rsidR="006C5493" w:rsidRPr="00685FA8" w:rsidRDefault="006C5493" w:rsidP="006C5493">
      <w:pPr>
        <w:pStyle w:val="p13"/>
        <w:spacing w:before="0" w:beforeAutospacing="0" w:after="0" w:afterAutospacing="0"/>
        <w:ind w:firstLine="708"/>
        <w:jc w:val="both"/>
      </w:pPr>
      <w:r w:rsidRPr="00685FA8">
        <w:rPr>
          <w:rStyle w:val="s1"/>
        </w:rPr>
        <w:t>4</w:t>
      </w:r>
      <w:r w:rsidRPr="00685FA8">
        <w:t>. Установить, что налоговая база определяется как кадастровая стоимость земельных участков, признаваемых объектом налогообложения в соответствии со статьей 389 Налогового</w:t>
      </w:r>
      <w:r>
        <w:t xml:space="preserve"> кодекса Российской Федерации, </w:t>
      </w:r>
      <w:r w:rsidRPr="00685FA8">
        <w:t>п.</w:t>
      </w:r>
      <w:r>
        <w:t>3</w:t>
      </w:r>
      <w:r w:rsidRPr="00685FA8">
        <w:t xml:space="preserve"> настоящего решения и определяется в отношении каждого земельного участка как его кадастровая стоимость по состоянию на </w:t>
      </w:r>
      <w:r w:rsidR="00115165">
        <w:t xml:space="preserve">    </w:t>
      </w:r>
      <w:r>
        <w:t>0</w:t>
      </w:r>
      <w:r w:rsidRPr="00685FA8">
        <w:t>1 января года, являющегося налоговым периодом.</w:t>
      </w:r>
    </w:p>
    <w:p w:rsidR="006C5493" w:rsidRPr="00685FA8" w:rsidRDefault="006C5493" w:rsidP="006C5493">
      <w:pPr>
        <w:pStyle w:val="p13"/>
        <w:spacing w:before="0" w:beforeAutospacing="0" w:after="0" w:afterAutospacing="0"/>
        <w:ind w:firstLine="708"/>
        <w:jc w:val="both"/>
      </w:pPr>
      <w:r w:rsidRPr="00685FA8">
        <w:rPr>
          <w:rStyle w:val="s1"/>
        </w:rPr>
        <w:t>5</w:t>
      </w:r>
      <w:r w:rsidRPr="00685FA8">
        <w:t>. Установить налоговые ставки от кадастровой стоимости земельного участка в следующих размерах:</w:t>
      </w:r>
    </w:p>
    <w:p w:rsidR="006C5493" w:rsidRPr="00685FA8" w:rsidRDefault="006C5493" w:rsidP="006C5493">
      <w:pPr>
        <w:pStyle w:val="p14"/>
        <w:spacing w:before="0" w:beforeAutospacing="0" w:after="0" w:afterAutospacing="0"/>
        <w:jc w:val="both"/>
      </w:pPr>
      <w:r w:rsidRPr="00685FA8">
        <w:t xml:space="preserve">1) </w:t>
      </w:r>
      <w:r w:rsidRPr="00685FA8">
        <w:rPr>
          <w:rStyle w:val="s1"/>
        </w:rPr>
        <w:t>0,3 процента</w:t>
      </w:r>
      <w:r w:rsidRPr="00685FA8">
        <w:t xml:space="preserve"> в отношении земельных участков:</w:t>
      </w:r>
    </w:p>
    <w:p w:rsidR="006C5493" w:rsidRPr="00685FA8" w:rsidRDefault="006C5493" w:rsidP="006C5493">
      <w:pPr>
        <w:pStyle w:val="p14"/>
        <w:spacing w:before="0" w:beforeAutospacing="0" w:after="0" w:afterAutospacing="0"/>
        <w:jc w:val="both"/>
      </w:pPr>
      <w:r w:rsidRPr="00685FA8">
        <w:t>- отнесённых к землям сельскохозяйственного назначения или к землям в составе зон сельскохозяйственного использования и используемых для сельскохозяйственного производства;</w:t>
      </w:r>
    </w:p>
    <w:p w:rsidR="006C5493" w:rsidRPr="00685FA8" w:rsidRDefault="006C5493" w:rsidP="006C5493">
      <w:pPr>
        <w:pStyle w:val="p14"/>
        <w:spacing w:before="0" w:beforeAutospacing="0" w:after="0" w:afterAutospacing="0"/>
        <w:jc w:val="both"/>
      </w:pPr>
      <w:r w:rsidRPr="00685FA8">
        <w:t xml:space="preserve">-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приходящийся на объект, не относящийся к жилищному фонду и к объектам инженерной </w:t>
      </w:r>
      <w:r w:rsidRPr="00685FA8">
        <w:lastRenderedPageBreak/>
        <w:t>инфраструктуры жилищно-коммунального комплекса) или приобретённых (предоставленных) для жилищного строительства;</w:t>
      </w:r>
    </w:p>
    <w:p w:rsidR="006C5493" w:rsidRPr="00685FA8" w:rsidRDefault="006C5493" w:rsidP="006C5493">
      <w:pPr>
        <w:pStyle w:val="p14"/>
        <w:spacing w:before="0" w:beforeAutospacing="0" w:after="0" w:afterAutospacing="0"/>
        <w:jc w:val="both"/>
      </w:pPr>
      <w:r w:rsidRPr="00685FA8">
        <w:t>- приобретённых (предоставленных) для личного подсобного хозяйства, садоводства, огородничества или животноводства, а также дачного хозяйства;</w:t>
      </w:r>
    </w:p>
    <w:p w:rsidR="006C5493" w:rsidRDefault="006C5493" w:rsidP="006C5493">
      <w:pPr>
        <w:pStyle w:val="p14"/>
        <w:spacing w:before="0" w:beforeAutospacing="0" w:after="0" w:afterAutospacing="0"/>
        <w:jc w:val="both"/>
      </w:pPr>
      <w:r>
        <w:t xml:space="preserve">- </w:t>
      </w:r>
      <w:r w:rsidRPr="004015E0">
        <w:t>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6C5493" w:rsidRPr="00685FA8" w:rsidRDefault="006C5493" w:rsidP="006C5493">
      <w:pPr>
        <w:pStyle w:val="p14"/>
        <w:spacing w:before="0" w:beforeAutospacing="0" w:after="0" w:afterAutospacing="0"/>
        <w:jc w:val="both"/>
      </w:pPr>
      <w:r>
        <w:t>2</w:t>
      </w:r>
      <w:r w:rsidRPr="00685FA8">
        <w:t xml:space="preserve">) </w:t>
      </w:r>
      <w:r>
        <w:rPr>
          <w:rStyle w:val="s1"/>
        </w:rPr>
        <w:t>0,7</w:t>
      </w:r>
      <w:r w:rsidRPr="00685FA8">
        <w:rPr>
          <w:rStyle w:val="s1"/>
        </w:rPr>
        <w:t xml:space="preserve"> процента</w:t>
      </w:r>
      <w:r w:rsidRPr="00685FA8">
        <w:t xml:space="preserve"> в отношении прочих земельных участков.</w:t>
      </w:r>
    </w:p>
    <w:p w:rsidR="006C5493" w:rsidRPr="00685FA8" w:rsidRDefault="006C5493" w:rsidP="006C5493">
      <w:pPr>
        <w:pStyle w:val="p12"/>
        <w:spacing w:before="0" w:beforeAutospacing="0" w:after="0" w:afterAutospacing="0"/>
        <w:ind w:firstLine="708"/>
        <w:jc w:val="both"/>
      </w:pPr>
      <w:r w:rsidRPr="00685FA8">
        <w:rPr>
          <w:rStyle w:val="s1"/>
        </w:rPr>
        <w:t>6</w:t>
      </w:r>
      <w:r w:rsidRPr="00685FA8">
        <w:t>. Установить, что для организаций и физических лиц, имеющих в собственности земельные участки, являющиеся объектом налогообложения на территории Талицко</w:t>
      </w:r>
      <w:r>
        <w:t>-Мугреевского</w:t>
      </w:r>
      <w:r w:rsidRPr="00685FA8">
        <w:t xml:space="preserve"> сельского поселения, налоговые льготы, установленные статьей 395 и пунктом 5 статьи 391 Налогового кодекса РФ, действуют в полном объеме.</w:t>
      </w:r>
    </w:p>
    <w:p w:rsidR="006C5493" w:rsidRPr="00685FA8" w:rsidRDefault="006C5493" w:rsidP="006C5493">
      <w:pPr>
        <w:pStyle w:val="p12"/>
        <w:spacing w:before="0" w:beforeAutospacing="0" w:after="0" w:afterAutospacing="0"/>
        <w:ind w:firstLine="708"/>
        <w:jc w:val="both"/>
      </w:pPr>
      <w:r w:rsidRPr="00685FA8">
        <w:rPr>
          <w:rStyle w:val="s1"/>
        </w:rPr>
        <w:t>7</w:t>
      </w:r>
      <w:r w:rsidRPr="00685FA8">
        <w:t>. Срок уплаты налога устанавливается в соответствии с Налоговым кодексом РФ.</w:t>
      </w:r>
    </w:p>
    <w:p w:rsidR="006C5493" w:rsidRPr="00685FA8" w:rsidRDefault="006C5493" w:rsidP="006C5493">
      <w:pPr>
        <w:pStyle w:val="p12"/>
        <w:spacing w:before="0" w:beforeAutospacing="0" w:after="0" w:afterAutospacing="0"/>
        <w:ind w:firstLine="708"/>
        <w:jc w:val="both"/>
      </w:pPr>
      <w:r w:rsidRPr="00685FA8">
        <w:rPr>
          <w:rStyle w:val="s1"/>
        </w:rPr>
        <w:t>8</w:t>
      </w:r>
      <w:r w:rsidRPr="00685FA8">
        <w:t xml:space="preserve">. </w:t>
      </w:r>
      <w:r w:rsidRPr="00EA372C">
        <w:t>Налогоплательщики - физические лица, имеющие право на налоговые льготы, представляют заявление о предоставлении льготы и документы, подтверждающие право налогоплательщика на налоговую льготу, в налоговый орган по своему выбору.</w:t>
      </w:r>
    </w:p>
    <w:p w:rsidR="006C5493" w:rsidRPr="00685FA8" w:rsidRDefault="006C5493" w:rsidP="006C5493">
      <w:pPr>
        <w:pStyle w:val="p12"/>
        <w:spacing w:before="0" w:beforeAutospacing="0" w:after="0" w:afterAutospacing="0"/>
        <w:ind w:firstLine="708"/>
        <w:jc w:val="both"/>
      </w:pPr>
      <w:r w:rsidRPr="00685FA8">
        <w:t>В случае возникновения (прекращения) у налогоплательщиков в течение налогового (отчетного) периода права на налоговую льготу исчисление суммы налога (суммы авансового платежа по налогу) в отношении земельного участка, по которому предоставляется право на налоговую льготу, производится с учетом коэффициента, определяемого как отношение числа полных месяцев, в течение которых отсутствует налоговая льгота, к числу календарных месяцев в налоговом (отчетном) периоде. При этом месяц возникновения права на налоговую льготу, а также месяц прекращения, указанного прав</w:t>
      </w:r>
      <w:r>
        <w:t>а</w:t>
      </w:r>
      <w:r w:rsidRPr="00685FA8">
        <w:t>, принимается за полный месяц.</w:t>
      </w:r>
      <w:r>
        <w:t xml:space="preserve"> </w:t>
      </w:r>
    </w:p>
    <w:p w:rsidR="006C5493" w:rsidRPr="00685FA8" w:rsidRDefault="006C5493" w:rsidP="006C5493">
      <w:pPr>
        <w:pStyle w:val="p13"/>
        <w:spacing w:before="0" w:beforeAutospacing="0" w:after="0" w:afterAutospacing="0"/>
        <w:ind w:firstLine="708"/>
        <w:jc w:val="both"/>
      </w:pPr>
      <w:r w:rsidRPr="00685FA8">
        <w:rPr>
          <w:rStyle w:val="s1"/>
        </w:rPr>
        <w:t>9</w:t>
      </w:r>
      <w:r w:rsidRPr="00685FA8">
        <w:t>. Налоговые доходы, получаемые от сбора земельного налога, зачисляются в бюджет Талицко</w:t>
      </w:r>
      <w:r w:rsidR="00115165">
        <w:t>-Мугреевского</w:t>
      </w:r>
      <w:r w:rsidRPr="00685FA8">
        <w:t xml:space="preserve"> сельского поселения.</w:t>
      </w:r>
    </w:p>
    <w:p w:rsidR="006C5493" w:rsidRDefault="006C5493" w:rsidP="006C5493">
      <w:pPr>
        <w:pStyle w:val="p13"/>
        <w:spacing w:before="0" w:beforeAutospacing="0" w:after="0" w:afterAutospacing="0"/>
        <w:ind w:firstLine="708"/>
        <w:jc w:val="both"/>
      </w:pPr>
      <w:r>
        <w:t>10</w:t>
      </w:r>
      <w:r w:rsidRPr="00685FA8">
        <w:t>. Настоящее решение вступает в силу не ранее чем по истечению одного месяца со дня официального опубликования и не ранее 1-го числа очередного налогового периода по соответствующему налогу.</w:t>
      </w:r>
    </w:p>
    <w:p w:rsidR="006C5493" w:rsidRDefault="006C5493" w:rsidP="006C5493">
      <w:pPr>
        <w:pStyle w:val="p13"/>
        <w:spacing w:before="0" w:beforeAutospacing="0" w:after="0" w:afterAutospacing="0"/>
        <w:ind w:firstLine="708"/>
        <w:jc w:val="both"/>
      </w:pPr>
      <w:r w:rsidRPr="00685FA8">
        <w:rPr>
          <w:rStyle w:val="s1"/>
        </w:rPr>
        <w:t>1</w:t>
      </w:r>
      <w:r>
        <w:rPr>
          <w:rStyle w:val="s1"/>
        </w:rPr>
        <w:t>1</w:t>
      </w:r>
      <w:r w:rsidRPr="00685FA8">
        <w:t>. Опубликовать настоящее Решение Совета Талицко</w:t>
      </w:r>
      <w:r>
        <w:t>-Мугреевского</w:t>
      </w:r>
      <w:r w:rsidRPr="00685FA8">
        <w:t xml:space="preserve"> сельского поселения в соответствии со статьей 43 Устава Талицкого сельского поселения. </w:t>
      </w:r>
    </w:p>
    <w:p w:rsidR="006C5493" w:rsidRDefault="006C5493" w:rsidP="006C5493">
      <w:pPr>
        <w:pStyle w:val="p16"/>
        <w:spacing w:before="0" w:beforeAutospacing="0" w:after="0" w:afterAutospacing="0"/>
        <w:jc w:val="both"/>
        <w:rPr>
          <w:rStyle w:val="s6"/>
        </w:rPr>
      </w:pPr>
    </w:p>
    <w:p w:rsidR="006C5493" w:rsidRDefault="006C5493" w:rsidP="006C5493">
      <w:pPr>
        <w:pStyle w:val="p16"/>
        <w:spacing w:before="0" w:beforeAutospacing="0" w:after="0" w:afterAutospacing="0"/>
        <w:jc w:val="both"/>
        <w:rPr>
          <w:rStyle w:val="s6"/>
        </w:rPr>
      </w:pPr>
    </w:p>
    <w:p w:rsidR="006C5493" w:rsidRDefault="006C5493" w:rsidP="006C5493">
      <w:pPr>
        <w:pStyle w:val="p16"/>
        <w:spacing w:before="0" w:beforeAutospacing="0" w:after="0" w:afterAutospacing="0"/>
        <w:jc w:val="both"/>
        <w:rPr>
          <w:rStyle w:val="s6"/>
        </w:rPr>
      </w:pPr>
    </w:p>
    <w:p w:rsidR="002C5A1C" w:rsidRDefault="002C5A1C" w:rsidP="006C5493">
      <w:pPr>
        <w:pStyle w:val="p16"/>
        <w:spacing w:before="0" w:beforeAutospacing="0" w:after="0" w:afterAutospacing="0"/>
        <w:jc w:val="both"/>
        <w:rPr>
          <w:rStyle w:val="s6"/>
        </w:rPr>
      </w:pPr>
    </w:p>
    <w:p w:rsidR="006C5493" w:rsidRPr="002E53CA" w:rsidRDefault="006C5493" w:rsidP="006C5493">
      <w:pPr>
        <w:pStyle w:val="p16"/>
        <w:spacing w:before="0" w:beforeAutospacing="0" w:after="0" w:afterAutospacing="0"/>
        <w:jc w:val="both"/>
        <w:rPr>
          <w:b/>
        </w:rPr>
      </w:pPr>
      <w:r>
        <w:rPr>
          <w:rStyle w:val="s6"/>
          <w:b/>
        </w:rPr>
        <w:t xml:space="preserve">И.о. </w:t>
      </w:r>
      <w:r w:rsidRPr="002E53CA">
        <w:rPr>
          <w:rStyle w:val="s6"/>
          <w:b/>
        </w:rPr>
        <w:t>Глав</w:t>
      </w:r>
      <w:r>
        <w:rPr>
          <w:rStyle w:val="s6"/>
          <w:b/>
        </w:rPr>
        <w:t>ы</w:t>
      </w:r>
      <w:r w:rsidRPr="002E53CA">
        <w:rPr>
          <w:rStyle w:val="s6"/>
          <w:b/>
        </w:rPr>
        <w:t xml:space="preserve"> Талицко</w:t>
      </w:r>
      <w:r>
        <w:rPr>
          <w:rStyle w:val="s6"/>
          <w:b/>
        </w:rPr>
        <w:t>-Мугреевского</w:t>
      </w:r>
    </w:p>
    <w:p w:rsidR="006C5493" w:rsidRDefault="006C5493" w:rsidP="006C5493">
      <w:pPr>
        <w:pStyle w:val="p16"/>
        <w:spacing w:before="0" w:beforeAutospacing="0" w:after="0" w:afterAutospacing="0"/>
        <w:jc w:val="both"/>
        <w:rPr>
          <w:rStyle w:val="s6"/>
        </w:rPr>
      </w:pPr>
      <w:r w:rsidRPr="002E53CA">
        <w:rPr>
          <w:rStyle w:val="s6"/>
          <w:b/>
        </w:rPr>
        <w:t xml:space="preserve">сельского поселения                                                </w:t>
      </w:r>
      <w:r>
        <w:rPr>
          <w:rStyle w:val="s6"/>
          <w:b/>
        </w:rPr>
        <w:t xml:space="preserve">                       </w:t>
      </w:r>
      <w:r w:rsidRPr="002E53CA">
        <w:rPr>
          <w:rStyle w:val="s6"/>
          <w:b/>
        </w:rPr>
        <w:t xml:space="preserve">             </w:t>
      </w:r>
      <w:r>
        <w:rPr>
          <w:rStyle w:val="s6"/>
          <w:b/>
        </w:rPr>
        <w:t xml:space="preserve">  </w:t>
      </w:r>
      <w:r w:rsidRPr="002E53CA">
        <w:rPr>
          <w:rStyle w:val="s6"/>
          <w:b/>
        </w:rPr>
        <w:t xml:space="preserve">      Р.С. Заплаткин</w:t>
      </w:r>
      <w:r w:rsidRPr="00685FA8">
        <w:rPr>
          <w:rStyle w:val="s6"/>
        </w:rPr>
        <w:t xml:space="preserve"> </w:t>
      </w:r>
    </w:p>
    <w:p w:rsidR="006C5493" w:rsidRDefault="006C5493" w:rsidP="006C5493">
      <w:pPr>
        <w:pStyle w:val="p16"/>
        <w:spacing w:before="0" w:beforeAutospacing="0" w:after="0" w:afterAutospacing="0"/>
        <w:jc w:val="both"/>
        <w:rPr>
          <w:rStyle w:val="s6"/>
        </w:rPr>
      </w:pPr>
    </w:p>
    <w:p w:rsidR="006C5493" w:rsidRDefault="006C5493" w:rsidP="006C5493">
      <w:pPr>
        <w:pStyle w:val="p16"/>
        <w:spacing w:before="0" w:beforeAutospacing="0" w:after="0" w:afterAutospacing="0"/>
        <w:jc w:val="both"/>
        <w:rPr>
          <w:rStyle w:val="s6"/>
        </w:rPr>
      </w:pPr>
    </w:p>
    <w:p w:rsidR="006C5493" w:rsidRPr="00AA64CE" w:rsidRDefault="006C5493" w:rsidP="006C5493">
      <w:pPr>
        <w:pStyle w:val="p16"/>
        <w:spacing w:before="0" w:beforeAutospacing="0" w:after="0" w:afterAutospacing="0"/>
        <w:jc w:val="both"/>
        <w:rPr>
          <w:rStyle w:val="s6"/>
          <w:b/>
        </w:rPr>
      </w:pPr>
      <w:r w:rsidRPr="00AA64CE">
        <w:rPr>
          <w:rStyle w:val="s6"/>
          <w:b/>
        </w:rPr>
        <w:t>И.о. Председателя Совета Талицко-</w:t>
      </w:r>
    </w:p>
    <w:p w:rsidR="006C5493" w:rsidRPr="00AA64CE" w:rsidRDefault="006C5493" w:rsidP="006C5493">
      <w:pPr>
        <w:pStyle w:val="p16"/>
        <w:spacing w:before="0" w:beforeAutospacing="0" w:after="0" w:afterAutospacing="0"/>
        <w:jc w:val="both"/>
        <w:rPr>
          <w:b/>
        </w:rPr>
      </w:pPr>
      <w:r w:rsidRPr="00AA64CE">
        <w:rPr>
          <w:rStyle w:val="s6"/>
          <w:b/>
        </w:rPr>
        <w:t xml:space="preserve">Мугреевского сельского поселения </w:t>
      </w:r>
      <w:r>
        <w:rPr>
          <w:rStyle w:val="s6"/>
          <w:b/>
        </w:rPr>
        <w:t xml:space="preserve">                                                                    М.В. Зубакова</w:t>
      </w:r>
    </w:p>
    <w:p w:rsidR="006C5493" w:rsidRDefault="006C5493" w:rsidP="006C5493">
      <w:pPr>
        <w:spacing w:after="0"/>
        <w:jc w:val="both"/>
        <w:rPr>
          <w:sz w:val="24"/>
          <w:szCs w:val="24"/>
        </w:rPr>
      </w:pPr>
    </w:p>
    <w:p w:rsidR="00E161A4" w:rsidRDefault="00E161A4"/>
    <w:sectPr w:rsidR="00E161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C87"/>
    <w:rsid w:val="00017C87"/>
    <w:rsid w:val="00115165"/>
    <w:rsid w:val="002C5A1C"/>
    <w:rsid w:val="00313E2D"/>
    <w:rsid w:val="006C5493"/>
    <w:rsid w:val="006E1CAB"/>
    <w:rsid w:val="00E16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F2068B-B17F-43DF-8946-0CCEE851F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6C5493"/>
  </w:style>
  <w:style w:type="paragraph" w:customStyle="1" w:styleId="p9">
    <w:name w:val="p9"/>
    <w:basedOn w:val="a"/>
    <w:rsid w:val="006C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6C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6C5493"/>
  </w:style>
  <w:style w:type="character" w:customStyle="1" w:styleId="s3">
    <w:name w:val="s3"/>
    <w:basedOn w:val="a0"/>
    <w:rsid w:val="006C5493"/>
  </w:style>
  <w:style w:type="paragraph" w:customStyle="1" w:styleId="p12">
    <w:name w:val="p12"/>
    <w:basedOn w:val="a"/>
    <w:rsid w:val="006C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6C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6C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0"/>
    <w:rsid w:val="006C5493"/>
  </w:style>
  <w:style w:type="paragraph" w:customStyle="1" w:styleId="p16">
    <w:name w:val="p16"/>
    <w:basedOn w:val="a"/>
    <w:rsid w:val="006C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6C54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35404A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691</Words>
  <Characters>3941</Characters>
  <Application>Microsoft Office Word</Application>
  <DocSecurity>0</DocSecurity>
  <Lines>32</Lines>
  <Paragraphs>9</Paragraphs>
  <ScaleCrop>false</ScaleCrop>
  <Company>Image&amp;Matros™</Company>
  <LinksUpToDate>false</LinksUpToDate>
  <CharactersWithSpaces>4623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Image&amp;Matros™</dc:creator>
  <cp:keywords/>
  <dc:description/>
  <cp:lastModifiedBy>Image&amp;Matros™</cp:lastModifiedBy>
  <cp:revision>9</cp:revision>
  <dcterms:created xsi:type="dcterms:W3CDTF">2017-11-27T13:28:00Z</dcterms:created>
  <dcterms:modified xsi:type="dcterms:W3CDTF">2017-11-30T14:38:00Z</dcterms:modified>
</cp:coreProperties>
</file>